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30FD0" w14:textId="33E236A9" w:rsidR="00D65373" w:rsidRDefault="004D1F49" w:rsidP="00085698">
      <w:pPr>
        <w:pStyle w:val="Titel"/>
        <w:suppressAutoHyphens/>
      </w:pPr>
      <w:r>
        <w:t>Eigenheim</w:t>
      </w:r>
      <w:r w:rsidR="00085698">
        <w:softHyphen/>
      </w:r>
      <w:r>
        <w:t>finanzierung</w:t>
      </w:r>
    </w:p>
    <w:p w14:paraId="3B6797DC" w14:textId="7F5D2F17" w:rsidR="004D1F49" w:rsidRDefault="00935EDA" w:rsidP="00935EDA">
      <w:pPr>
        <w:pStyle w:val="Textkrper"/>
      </w:pPr>
      <w:r>
        <w:rPr>
          <w:noProof/>
        </w:rPr>
        <w:drawing>
          <wp:anchor distT="0" distB="0" distL="114300" distR="114300" simplePos="0" relativeHeight="251658240" behindDoc="0" locked="0" layoutInCell="1" allowOverlap="1" wp14:anchorId="2D836C7B" wp14:editId="1CC5833A">
            <wp:simplePos x="0" y="0"/>
            <wp:positionH relativeFrom="column">
              <wp:posOffset>14605</wp:posOffset>
            </wp:positionH>
            <wp:positionV relativeFrom="paragraph">
              <wp:posOffset>1007745</wp:posOffset>
            </wp:positionV>
            <wp:extent cx="3901440" cy="2194560"/>
            <wp:effectExtent l="0" t="0" r="3810" b="0"/>
            <wp:wrapSquare wrapText="bothSides"/>
            <wp:docPr id="3" name="Grafik 3" descr="Bau Haus Neues - Kostenloses Foto auf Pixaba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u Haus Neues - Kostenloses Foto auf Pixabay"/>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tretch/>
                  </pic:blipFill>
                  <pic:spPr bwMode="auto">
                    <a:xfrm>
                      <a:off x="0" y="0"/>
                      <a:ext cx="3901440" cy="2194560"/>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r w:rsidR="004D1F49">
        <w:br w:type="page"/>
      </w:r>
    </w:p>
    <w:p w14:paraId="478633A8" w14:textId="7CD0D3BF" w:rsidR="00935EDA" w:rsidRDefault="00935EDA" w:rsidP="00935EDA">
      <w:pPr>
        <w:pStyle w:val="Inhaltsverzeichnisberschrift"/>
      </w:pPr>
      <w:r>
        <w:lastRenderedPageBreak/>
        <w:t>Inhaltsverzeichnis</w:t>
      </w:r>
    </w:p>
    <w:p w14:paraId="725849E2" w14:textId="782D76AB" w:rsidR="00935EDA" w:rsidRPr="00935EDA" w:rsidRDefault="007048C7" w:rsidP="00935EDA">
      <w:pPr>
        <w:pStyle w:val="Textkrper"/>
      </w:pPr>
      <w:r w:rsidRPr="00C651E4">
        <w:fldChar w:fldCharType="begin"/>
      </w:r>
      <w:r w:rsidRPr="00C651E4">
        <w:instrText>MACROBUTTON NoMacro [</w:instrText>
      </w:r>
      <w:r w:rsidRPr="00C651E4">
        <w:rPr>
          <w:b/>
          <w:color w:val="FF0000"/>
        </w:rPr>
        <w:instrText>KLICK!</w:instrText>
      </w:r>
      <w:r w:rsidRPr="00C651E4">
        <w:instrText>]</w:instrText>
      </w:r>
      <w:r w:rsidRPr="00C651E4">
        <w:fldChar w:fldCharType="end"/>
      </w:r>
    </w:p>
    <w:p w14:paraId="543795B8" w14:textId="77777777" w:rsidR="00935EDA" w:rsidRPr="00683604" w:rsidRDefault="00935EDA" w:rsidP="00683604">
      <w:pPr>
        <w:pStyle w:val="Textkrper"/>
      </w:pPr>
      <w:r w:rsidRPr="00683604">
        <w:br w:type="page"/>
      </w:r>
    </w:p>
    <w:p w14:paraId="0B3E6CCB" w14:textId="72738163" w:rsidR="004D1F49" w:rsidRDefault="004D1F49" w:rsidP="004D1F49">
      <w:pPr>
        <w:pStyle w:val="berschrift1"/>
      </w:pPr>
      <w:bookmarkStart w:id="0" w:name="_Toc112332590"/>
      <w:r>
        <w:lastRenderedPageBreak/>
        <w:t>Einleitung</w:t>
      </w:r>
      <w:bookmarkEnd w:id="0"/>
    </w:p>
    <w:p w14:paraId="71A108FC" w14:textId="5AA6ED43" w:rsidR="004D1F49" w:rsidRDefault="004D1F49" w:rsidP="004D1F49">
      <w:pPr>
        <w:pStyle w:val="berschrift2"/>
      </w:pPr>
      <w:bookmarkStart w:id="1" w:name="_Toc112332591"/>
      <w:r>
        <w:t xml:space="preserve">Eigenheim in der Schweiz </w:t>
      </w:r>
      <w:r w:rsidR="000675BE">
        <w:t>-</w:t>
      </w:r>
      <w:r>
        <w:t xml:space="preserve"> Status quo</w:t>
      </w:r>
      <w:bookmarkEnd w:id="1"/>
    </w:p>
    <w:p w14:paraId="07015468" w14:textId="619E5A68" w:rsidR="004D1F49" w:rsidRDefault="004D1F49" w:rsidP="00935EDA">
      <w:pPr>
        <w:pStyle w:val="Textkrper"/>
      </w:pPr>
      <w:r>
        <w:t>Die Schweiz ist ein Land von Mieterinnen und Mietern. Nur 40</w:t>
      </w:r>
      <w:r w:rsidR="00516EE6">
        <w:t> %</w:t>
      </w:r>
      <w:r>
        <w:t xml:space="preserve"> aller Immobilien hierzulande sind im Eigentum ihrer </w:t>
      </w:r>
      <w:r w:rsidR="000675BE">
        <w:t>-</w:t>
      </w:r>
      <w:r>
        <w:t xml:space="preserve"> meist mit einer Hypothek belasteten </w:t>
      </w:r>
      <w:r w:rsidR="000675BE">
        <w:t>-</w:t>
      </w:r>
      <w:r>
        <w:t xml:space="preserve"> Bewohnerinnen und Bewohnern. </w:t>
      </w:r>
      <w:r w:rsidRPr="004D1F49">
        <w:t>Im weltweiten Vergleich ist diese Wohneigentumsquote sehr niedrig. Nur in Japan ist sie ähnlich tief. Deutlich höher ist sie in Deutschland (53</w:t>
      </w:r>
      <w:r w:rsidR="00430CD7">
        <w:t> </w:t>
      </w:r>
      <w:r w:rsidRPr="004D1F49">
        <w:t>%) und Österreich (57</w:t>
      </w:r>
      <w:r w:rsidR="00430CD7">
        <w:t> </w:t>
      </w:r>
      <w:r w:rsidRPr="004D1F49">
        <w:t>%), obwohl sie global betrachtet auch dort vergleichsweise gering ist. Sehr viele Länder weisen Wohneigentumsquoten von 75</w:t>
      </w:r>
      <w:r w:rsidR="00516EE6">
        <w:t> %</w:t>
      </w:r>
      <w:r w:rsidRPr="004D1F49">
        <w:t xml:space="preserve"> und mehr auf. In den ehemaligen Ostblockstaaten etwa liegt die Quote teilweise bei über 90</w:t>
      </w:r>
      <w:r w:rsidR="00516EE6">
        <w:t> %</w:t>
      </w:r>
      <w:r w:rsidRPr="004D1F49">
        <w:t xml:space="preserve">. </w:t>
      </w:r>
    </w:p>
    <w:p w14:paraId="76532B6C" w14:textId="558BD5DD" w:rsidR="00AC1B0D" w:rsidRDefault="00AC1B0D" w:rsidP="00AC1B0D">
      <w:pPr>
        <w:pStyle w:val="berschrift2"/>
      </w:pPr>
      <w:bookmarkStart w:id="2" w:name="_Toc112332592"/>
      <w:bookmarkStart w:id="3" w:name="_Ref112337388"/>
      <w:bookmarkStart w:id="4" w:name="_Ref112337393"/>
      <w:r>
        <w:t>Hypothekarvolumen</w:t>
      </w:r>
      <w:bookmarkEnd w:id="2"/>
      <w:bookmarkEnd w:id="3"/>
      <w:bookmarkEnd w:id="4"/>
    </w:p>
    <w:p w14:paraId="232C0504" w14:textId="049AD8B6" w:rsidR="004D1F49" w:rsidRDefault="004D1F49" w:rsidP="00935EDA">
      <w:pPr>
        <w:pStyle w:val="Textkrper"/>
      </w:pPr>
      <w:r w:rsidRPr="004D1F49">
        <w:t xml:space="preserve">Trotz der geringen Wohneigentumsquote steht die Schweiz bei den Hypothekarschulden </w:t>
      </w:r>
      <w:r w:rsidR="004542D3">
        <w:t xml:space="preserve">gemeinsam mit Dänemark </w:t>
      </w:r>
      <w:r w:rsidRPr="004D1F49">
        <w:t xml:space="preserve">weltweit an erster </w:t>
      </w:r>
      <w:r w:rsidR="004542D3">
        <w:t>Stelle:</w:t>
      </w:r>
    </w:p>
    <w:p w14:paraId="437876EA" w14:textId="2BBD7BCF" w:rsidR="004542D3" w:rsidRDefault="004542D3" w:rsidP="00935EDA">
      <w:pPr>
        <w:pStyle w:val="Textkrper"/>
      </w:pPr>
      <w:r>
        <w:rPr>
          <w:noProof/>
        </w:rPr>
        <w:drawing>
          <wp:inline distT="0" distB="0" distL="0" distR="0" wp14:anchorId="79CDCC24" wp14:editId="2293ED68">
            <wp:extent cx="5760720" cy="3216910"/>
            <wp:effectExtent l="0" t="0" r="11430" b="2540"/>
            <wp:docPr id="1" name="Diagramm 1">
              <a:extLst xmlns:a="http://schemas.openxmlformats.org/drawingml/2006/main">
                <a:ext uri="{FF2B5EF4-FFF2-40B4-BE49-F238E27FC236}">
                  <a16:creationId xmlns:a16="http://schemas.microsoft.com/office/drawing/2014/main" id="{5E36D7BC-49E7-45B5-0621-180B079077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F4373AA" w14:textId="175C4755" w:rsidR="004542D3" w:rsidRDefault="00C66DBB" w:rsidP="00C66DBB">
      <w:pPr>
        <w:pStyle w:val="berschrift1"/>
      </w:pPr>
      <w:bookmarkStart w:id="5" w:name="_Toc112332593"/>
      <w:r>
        <w:t xml:space="preserve">Eigenheimfinanzierung </w:t>
      </w:r>
      <w:r w:rsidR="000675BE">
        <w:t>-</w:t>
      </w:r>
      <w:r>
        <w:t xml:space="preserve"> die wesentlichen Fragen</w:t>
      </w:r>
      <w:bookmarkEnd w:id="5"/>
    </w:p>
    <w:p w14:paraId="0CF5FA6F" w14:textId="045D5A4E" w:rsidR="00C66DBB" w:rsidRDefault="00C66DBB" w:rsidP="00C66DBB">
      <w:pPr>
        <w:pStyle w:val="berschrift2"/>
      </w:pPr>
      <w:bookmarkStart w:id="6" w:name="_Toc112332594"/>
      <w:r>
        <w:t>Wie viel Eigenkapital brauche ich?</w:t>
      </w:r>
      <w:bookmarkEnd w:id="6"/>
    </w:p>
    <w:p w14:paraId="0C5E06D4" w14:textId="10367474" w:rsidR="00C66DBB" w:rsidRDefault="00C66DBB" w:rsidP="00935EDA">
      <w:pPr>
        <w:pStyle w:val="Textkrper"/>
      </w:pPr>
      <w:r>
        <w:t xml:space="preserve">Angenommen, Sie haben ein Haus für 1.5 Mio. Franken gefunden und möchten dieses gerne finanzieren. Dann wird Ihnen die Bank </w:t>
      </w:r>
      <w:r w:rsidR="000675BE">
        <w:t>-</w:t>
      </w:r>
      <w:r>
        <w:t xml:space="preserve"> abhängig von verschiedenen Faktoren </w:t>
      </w:r>
      <w:r w:rsidR="000675BE">
        <w:t>-</w:t>
      </w:r>
      <w:r>
        <w:t xml:space="preserve"> maximal 80 davon finanzieren. Den Rest von 20</w:t>
      </w:r>
      <w:r w:rsidR="00516EE6">
        <w:t> %</w:t>
      </w:r>
      <w:r>
        <w:t xml:space="preserve"> müssen Sie über Ihr Eigenkapital beitragen; Sie benötigen in diesem Beispiel also eigene </w:t>
      </w:r>
      <w:r w:rsidR="008F0C99">
        <w:t>CHF </w:t>
      </w:r>
      <w:r>
        <w:t>300 000.</w:t>
      </w:r>
    </w:p>
    <w:p w14:paraId="056F1E3F" w14:textId="5AAF4D4E" w:rsidR="007211D5" w:rsidRDefault="0039348B" w:rsidP="0039348B">
      <w:pPr>
        <w:pStyle w:val="berschrift2"/>
      </w:pPr>
      <w:bookmarkStart w:id="7" w:name="_Toc112332595"/>
      <w:r>
        <w:t>Was gilt als Eigenkapital?</w:t>
      </w:r>
      <w:bookmarkEnd w:id="7"/>
    </w:p>
    <w:p w14:paraId="12359347" w14:textId="12FF2B70" w:rsidR="0039348B" w:rsidRDefault="0039348B" w:rsidP="00935EDA">
      <w:pPr>
        <w:pStyle w:val="Textkrper"/>
      </w:pPr>
      <w:r>
        <w:t>Sie müssen mind. 10</w:t>
      </w:r>
      <w:r w:rsidR="00430CD7">
        <w:t> </w:t>
      </w:r>
      <w:r>
        <w:t>% des Kaufpreises aus liquiden Mitteln selbst finanzieren. Dazu gehören beispielsweise Sparguthaben, Wertschriften, Guthaben der 3. Säule oder Erbvorbezüge. Solange Sie die die Liegenschaft selbst bewohnen, können Sie die restlichen Eigenmittel auch aus Ihrer Pensionskassengeldern finanzieren.</w:t>
      </w:r>
    </w:p>
    <w:p w14:paraId="458607BE" w14:textId="0153F27C" w:rsidR="002F456B" w:rsidRDefault="002F456B" w:rsidP="002F456B">
      <w:pPr>
        <w:pStyle w:val="berschrift2"/>
      </w:pPr>
      <w:bookmarkStart w:id="8" w:name="_Toc112332596"/>
      <w:r>
        <w:lastRenderedPageBreak/>
        <w:t>Wie kann ich auf mein Pension</w:t>
      </w:r>
      <w:r w:rsidR="00C90BF6">
        <w:t>s</w:t>
      </w:r>
      <w:r>
        <w:t>kassenguthaben zugreifen?</w:t>
      </w:r>
      <w:bookmarkEnd w:id="8"/>
    </w:p>
    <w:p w14:paraId="664DEA54" w14:textId="21C8CBFE" w:rsidR="00AF0C60" w:rsidRDefault="00AF0C60" w:rsidP="00AF0C60">
      <w:pPr>
        <w:pStyle w:val="Textkrper"/>
      </w:pPr>
      <w:r>
        <w:t xml:space="preserve">Möchten Sie auf Gelder Ihrer Pensionskasse zugreifen, so </w:t>
      </w:r>
      <w:r w:rsidRPr="00AF0C60">
        <w:t>ist</w:t>
      </w:r>
      <w:r>
        <w:t xml:space="preserve"> dies entweder als Vorbezug oder als Verpfändung möglich. Wichtig ist, die unterschiedlichen Folgen zu beachten:</w:t>
      </w:r>
    </w:p>
    <w:p w14:paraId="2F469F86" w14:textId="3D874BCA" w:rsidR="00AF0C60" w:rsidRDefault="00AF0C60" w:rsidP="00AF0C60">
      <w:pPr>
        <w:pStyle w:val="Aufzhlungszeichen"/>
      </w:pPr>
      <w:r>
        <w:t>Bei einem Vorbezug von Kapital aus der zweiten Säule kürzt die Pensionskasse Ihre Altersleistungen und eventuell auch die Risikoleistungen. Dies kann zu bedeutenden Einkommenslücken führen. Weiter ist zu beachten, dass der ausbezahlte Kapitalbetrag versteuert werden muss.</w:t>
      </w:r>
    </w:p>
    <w:p w14:paraId="0A7349D8" w14:textId="6E02BD79" w:rsidR="00AF0C60" w:rsidRDefault="00AF0C60" w:rsidP="00AF0C60">
      <w:pPr>
        <w:pStyle w:val="Aufzhlungszeichen"/>
      </w:pPr>
      <w:r>
        <w:t>Bei einer Verpfändung des Kapitals gegenüber dem Kreditgeber werden die Leistungen nicht gekürzt, da Sie keine Gelder beziehen. Sie können zudem höhere Schuldzinsen vom Einkommen abziehen.</w:t>
      </w:r>
    </w:p>
    <w:p w14:paraId="7A2BC589" w14:textId="17F58D27" w:rsidR="00AF0C60" w:rsidRDefault="00AF0C60" w:rsidP="00AF0C60">
      <w:pPr>
        <w:pStyle w:val="Textkrper"/>
      </w:pPr>
      <w:r>
        <w:t>Es wird empfohlen, die Pensionskasse frühzeitig zu kontaktieren, sofern Gelder daraus bezogen werden sollen.</w:t>
      </w:r>
    </w:p>
    <w:p w14:paraId="09122369" w14:textId="731D175D" w:rsidR="002F456B" w:rsidRDefault="00C90BF6" w:rsidP="00C90BF6">
      <w:pPr>
        <w:pStyle w:val="berschrift2"/>
      </w:pPr>
      <w:bookmarkStart w:id="9" w:name="_Toc112332597"/>
      <w:r>
        <w:t>Welche Arten von Hypotheken gibt es?</w:t>
      </w:r>
      <w:bookmarkEnd w:id="9"/>
    </w:p>
    <w:p w14:paraId="035BC192" w14:textId="7F66E05D" w:rsidR="00984C1D" w:rsidRDefault="00984C1D" w:rsidP="00984C1D">
      <w:pPr>
        <w:pStyle w:val="Textkrper"/>
      </w:pPr>
      <w:r>
        <w:t>Eine Hypothek ist ein Darlehen, welches Sie neben dem Eigenkapital zum Kauf Ihrer Immobilie benutzen können. Kreditgeber können bis zu 80</w:t>
      </w:r>
      <w:r w:rsidR="00516EE6">
        <w:t> %</w:t>
      </w:r>
      <w:r>
        <w:t xml:space="preserve"> des Werts der Liegenschaft durch Hypotheken belehnen.</w:t>
      </w:r>
    </w:p>
    <w:p w14:paraId="7988D71A" w14:textId="0B87D219" w:rsidR="00984C1D" w:rsidRDefault="00984C1D" w:rsidP="00984C1D">
      <w:pPr>
        <w:pStyle w:val="Textkrper"/>
      </w:pPr>
      <w:r>
        <w:t>Bis zu 67</w:t>
      </w:r>
      <w:r w:rsidR="00516EE6">
        <w:t> %</w:t>
      </w:r>
      <w:r>
        <w:t xml:space="preserve"> des Belehnungswertes als erste Hypothek, den Rest als zweite Hypothek. Die zweite Hypothek muss in der Regel innerhalb von 15 Jahren zurückbezahlt (sog. amortisiert) werden. Die erste Hypothek muss nicht zwingend zurückbezahlt werden. Bei beiden Darlehen fallen entsprechende Zinsen an.</w:t>
      </w:r>
    </w:p>
    <w:p w14:paraId="4F082B53" w14:textId="7504FC1C" w:rsidR="00984C1D" w:rsidRDefault="00984C1D" w:rsidP="00984C1D">
      <w:pPr>
        <w:pStyle w:val="Textkrper"/>
      </w:pPr>
      <w:r>
        <w:t>Es gibt verschiedene Hypothekarmodelle in der Schweiz. Die gängigsten sind:</w:t>
      </w:r>
    </w:p>
    <w:p w14:paraId="61BCA346" w14:textId="77777777" w:rsidR="00984C1D" w:rsidRDefault="00984C1D" w:rsidP="00984C1D">
      <w:pPr>
        <w:pStyle w:val="Aufzhlungszeichen"/>
      </w:pPr>
      <w:r>
        <w:t>Festhypotheken: fixe Laufzeit und fester Zinssatz</w:t>
      </w:r>
    </w:p>
    <w:p w14:paraId="1CD0AF9D" w14:textId="77777777" w:rsidR="00984C1D" w:rsidRDefault="00984C1D" w:rsidP="00984C1D">
      <w:pPr>
        <w:pStyle w:val="Aufzhlungszeichen"/>
      </w:pPr>
      <w:r>
        <w:t>variable Hypotheken: variable Laufzeit, der Zinssatz passt sich dem Kapitalmarkt an.</w:t>
      </w:r>
    </w:p>
    <w:p w14:paraId="0CEDE531" w14:textId="0BEBB9F4" w:rsidR="00984C1D" w:rsidRDefault="00984C1D" w:rsidP="00984C1D">
      <w:pPr>
        <w:pStyle w:val="Aufzhlungszeichen"/>
      </w:pPr>
      <w:r>
        <w:t>Geldmarkt</w:t>
      </w:r>
      <w:r w:rsidR="00430CD7">
        <w:t>h</w:t>
      </w:r>
      <w:r>
        <w:t xml:space="preserve">ypotheken: Meistens eine fixe Laufzeit zwischen 3 und 5 Jahren, der Zinssatz orientiert sich in der Regel am SARON (Swiss Average Rate </w:t>
      </w:r>
      <w:proofErr w:type="spellStart"/>
      <w:r>
        <w:t>Overnight</w:t>
      </w:r>
      <w:proofErr w:type="spellEnd"/>
      <w:r>
        <w:t xml:space="preserve">) </w:t>
      </w:r>
      <w:r w:rsidR="000675BE">
        <w:t>-</w:t>
      </w:r>
      <w:r>
        <w:t xml:space="preserve"> einem Zinssatz, der auf effektiv abgeschlossenen Transaktionen basiert.</w:t>
      </w:r>
    </w:p>
    <w:p w14:paraId="788C973B" w14:textId="606E05DF" w:rsidR="00984C1D" w:rsidRDefault="00984C1D" w:rsidP="00984C1D">
      <w:pPr>
        <w:pStyle w:val="Textkrper"/>
      </w:pPr>
      <w:r>
        <w:t>Unabhängig der effektiv zu bezahlenden Zinsen für eine Hypothek rechnet Ihr Finanzierungspartner zur Bestimmung der Tragbarkeit mit einem Hypothekarzins von 5</w:t>
      </w:r>
      <w:r w:rsidR="00516EE6">
        <w:t> %</w:t>
      </w:r>
      <w:r>
        <w:t>.</w:t>
      </w:r>
    </w:p>
    <w:p w14:paraId="3E164AB0" w14:textId="227CABB0" w:rsidR="00984C1D" w:rsidRDefault="00984C1D" w:rsidP="00984C1D">
      <w:pPr>
        <w:pStyle w:val="Textkrper"/>
      </w:pPr>
      <w:r>
        <w:t>Und um die langfristige Tragbarkeit Ihres Eigenheims zu garantieren, zählt neben dem Eigenkapital auch Ihr Einkommen.</w:t>
      </w:r>
    </w:p>
    <w:p w14:paraId="23D35183" w14:textId="226C9FC0" w:rsidR="00984C1D" w:rsidRDefault="00984C1D" w:rsidP="00984C1D">
      <w:pPr>
        <w:pStyle w:val="berschrift2"/>
      </w:pPr>
      <w:bookmarkStart w:id="10" w:name="_Toc112332598"/>
      <w:r>
        <w:t>Welche Rolle spielt das Einkommen bei der Finanzierung?</w:t>
      </w:r>
      <w:bookmarkEnd w:id="10"/>
    </w:p>
    <w:p w14:paraId="229C4840" w14:textId="2E1EB271" w:rsidR="00984C1D" w:rsidRDefault="00984C1D" w:rsidP="00984C1D">
      <w:pPr>
        <w:pStyle w:val="Textkrper"/>
      </w:pPr>
      <w:r>
        <w:t>Ein Eigenheim verursacht laufende Kosten: Nebenkosten und Unterhalt, Zinsen, die für das Hypotheken</w:t>
      </w:r>
      <w:r w:rsidR="00430CD7">
        <w:t>d</w:t>
      </w:r>
      <w:r>
        <w:t>arlehen anfallen, sowie die direkte oder indirekte Amortisation der zweiten Hypothek. Diese gesammelten Wohnkosten dürfen nicht höher als einen Drittel des Bruttoeinkommens Ihres Haushaltes sein, ansonsten ist die Tragbarkeit nicht gegeben.</w:t>
      </w:r>
    </w:p>
    <w:p w14:paraId="3C393EC6" w14:textId="5EC85E49" w:rsidR="00984C1D" w:rsidRDefault="00984C1D" w:rsidP="00984C1D">
      <w:pPr>
        <w:pStyle w:val="Textkrper"/>
      </w:pPr>
      <w:r>
        <w:t>Die Finanzierungspartner rechnen mit 5</w:t>
      </w:r>
      <w:r w:rsidR="00516EE6">
        <w:t> %</w:t>
      </w:r>
      <w:r>
        <w:t xml:space="preserve"> Hypothekarzins sowie mit 1</w:t>
      </w:r>
      <w:r w:rsidR="00516EE6">
        <w:t> %</w:t>
      </w:r>
      <w:r>
        <w:t xml:space="preserve"> des Kaufpreises für Unterhalt und Nebenkosten. Wenn das Haus 1 Million Franken kostet und mit </w:t>
      </w:r>
      <w:r w:rsidR="008F0C99">
        <w:t>CHF </w:t>
      </w:r>
      <w:r>
        <w:t xml:space="preserve">800 000 Franken belehnt wird (erste Hypothek </w:t>
      </w:r>
      <w:r w:rsidR="008F0C99">
        <w:t>CHF </w:t>
      </w:r>
      <w:r>
        <w:t xml:space="preserve">650 000, zweite Hypothek </w:t>
      </w:r>
      <w:r w:rsidR="008F0C99">
        <w:t>CHF </w:t>
      </w:r>
      <w:r>
        <w:t xml:space="preserve">150 000), so müssen Sie (gemeinsam mit Ihrem Partner) </w:t>
      </w:r>
      <w:r w:rsidR="008F0C99">
        <w:t>CHF </w:t>
      </w:r>
      <w:r>
        <w:t>180 000 im Jahr verdienen: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1"/>
        <w:gridCol w:w="1701"/>
      </w:tblGrid>
      <w:tr w:rsidR="005C6E3F" w14:paraId="55DA470F" w14:textId="77777777" w:rsidTr="005C6E3F">
        <w:tc>
          <w:tcPr>
            <w:tcW w:w="7371" w:type="dxa"/>
          </w:tcPr>
          <w:p w14:paraId="4C0EB3AC" w14:textId="794F8A0E" w:rsidR="005C6E3F" w:rsidRDefault="005C6E3F" w:rsidP="005C6E3F">
            <w:pPr>
              <w:pStyle w:val="Textkrper"/>
              <w:spacing w:before="60" w:after="60"/>
            </w:pPr>
            <w:r>
              <w:lastRenderedPageBreak/>
              <w:t>5</w:t>
            </w:r>
            <w:r w:rsidR="00516EE6">
              <w:t> %</w:t>
            </w:r>
            <w:r>
              <w:t xml:space="preserve"> </w:t>
            </w:r>
            <w:r w:rsidR="000E5F07">
              <w:t xml:space="preserve">Zins </w:t>
            </w:r>
            <w:r>
              <w:t>von 800 000 (Hypothek)</w:t>
            </w:r>
          </w:p>
        </w:tc>
        <w:tc>
          <w:tcPr>
            <w:tcW w:w="1701" w:type="dxa"/>
          </w:tcPr>
          <w:p w14:paraId="6B0FBD33" w14:textId="0D462AB9" w:rsidR="005C6E3F" w:rsidRDefault="005C6E3F" w:rsidP="005C6E3F">
            <w:pPr>
              <w:pStyle w:val="Textkrper"/>
              <w:tabs>
                <w:tab w:val="decimal" w:pos="3941"/>
              </w:tabs>
              <w:spacing w:before="60" w:after="60"/>
            </w:pPr>
            <w:r>
              <w:t>40</w:t>
            </w:r>
            <w:r w:rsidR="00430CD7">
              <w:t> </w:t>
            </w:r>
            <w:r>
              <w:t>000</w:t>
            </w:r>
          </w:p>
        </w:tc>
      </w:tr>
      <w:tr w:rsidR="005C6E3F" w14:paraId="1C50C9FD" w14:textId="77777777" w:rsidTr="005C6E3F">
        <w:tc>
          <w:tcPr>
            <w:tcW w:w="7371" w:type="dxa"/>
          </w:tcPr>
          <w:p w14:paraId="31E4FC44" w14:textId="1B2C5CCE" w:rsidR="005C6E3F" w:rsidRDefault="005C6E3F" w:rsidP="005C6E3F">
            <w:pPr>
              <w:pStyle w:val="Textkrper"/>
              <w:spacing w:before="60" w:after="60"/>
            </w:pPr>
            <w:r>
              <w:t>1</w:t>
            </w:r>
            <w:r w:rsidR="00516EE6">
              <w:t> %</w:t>
            </w:r>
            <w:r>
              <w:t xml:space="preserve"> </w:t>
            </w:r>
            <w:r w:rsidR="000E5F07">
              <w:t xml:space="preserve">Unterhalt </w:t>
            </w:r>
            <w:r>
              <w:t>von 1 000 000 (Kaufpreis)</w:t>
            </w:r>
          </w:p>
        </w:tc>
        <w:tc>
          <w:tcPr>
            <w:tcW w:w="1701" w:type="dxa"/>
          </w:tcPr>
          <w:p w14:paraId="38AE932C" w14:textId="093932C4" w:rsidR="005C6E3F" w:rsidRDefault="005C6E3F" w:rsidP="005C6E3F">
            <w:pPr>
              <w:pStyle w:val="Textkrper"/>
              <w:tabs>
                <w:tab w:val="decimal" w:pos="3941"/>
              </w:tabs>
              <w:spacing w:before="60" w:after="60"/>
            </w:pPr>
            <w:r>
              <w:t>10</w:t>
            </w:r>
            <w:r w:rsidR="00430CD7">
              <w:t> </w:t>
            </w:r>
            <w:r>
              <w:t>000</w:t>
            </w:r>
          </w:p>
        </w:tc>
      </w:tr>
      <w:tr w:rsidR="005C6E3F" w14:paraId="1A094793" w14:textId="77777777" w:rsidTr="005C6E3F">
        <w:tc>
          <w:tcPr>
            <w:tcW w:w="7371" w:type="dxa"/>
            <w:tcBorders>
              <w:bottom w:val="single" w:sz="4" w:space="0" w:color="auto"/>
            </w:tcBorders>
          </w:tcPr>
          <w:p w14:paraId="6261C1EE" w14:textId="4EE221CD" w:rsidR="005C6E3F" w:rsidRDefault="005C6E3F" w:rsidP="005C6E3F">
            <w:pPr>
              <w:pStyle w:val="Textkrper"/>
              <w:spacing w:before="60" w:after="60"/>
            </w:pPr>
            <w:r>
              <w:t>Amortisation 2. Hypothek</w:t>
            </w:r>
          </w:p>
        </w:tc>
        <w:tc>
          <w:tcPr>
            <w:tcW w:w="1701" w:type="dxa"/>
            <w:tcBorders>
              <w:bottom w:val="single" w:sz="4" w:space="0" w:color="auto"/>
            </w:tcBorders>
          </w:tcPr>
          <w:p w14:paraId="5B59AB30" w14:textId="7DAE73B9" w:rsidR="005C6E3F" w:rsidRDefault="005C6E3F" w:rsidP="005C6E3F">
            <w:pPr>
              <w:pStyle w:val="Textkrper"/>
              <w:tabs>
                <w:tab w:val="decimal" w:pos="3941"/>
              </w:tabs>
              <w:spacing w:before="60" w:after="60"/>
            </w:pPr>
            <w:r>
              <w:t>10</w:t>
            </w:r>
            <w:r w:rsidR="00430CD7">
              <w:t> </w:t>
            </w:r>
            <w:r>
              <w:t>000</w:t>
            </w:r>
          </w:p>
        </w:tc>
      </w:tr>
      <w:tr w:rsidR="005C6E3F" w14:paraId="37760645" w14:textId="77777777" w:rsidTr="005C6E3F">
        <w:tc>
          <w:tcPr>
            <w:tcW w:w="7371" w:type="dxa"/>
            <w:tcBorders>
              <w:top w:val="single" w:sz="4" w:space="0" w:color="auto"/>
            </w:tcBorders>
          </w:tcPr>
          <w:p w14:paraId="710BA4E5" w14:textId="62539D73" w:rsidR="005C6E3F" w:rsidRPr="005C6E3F" w:rsidRDefault="005C6E3F" w:rsidP="005C6E3F">
            <w:pPr>
              <w:pStyle w:val="Textkrper"/>
              <w:spacing w:before="60" w:after="60"/>
              <w:rPr>
                <w:b/>
                <w:bCs/>
              </w:rPr>
            </w:pPr>
            <w:r w:rsidRPr="005C6E3F">
              <w:rPr>
                <w:b/>
                <w:bCs/>
              </w:rPr>
              <w:t>Wohnkosten total</w:t>
            </w:r>
          </w:p>
        </w:tc>
        <w:tc>
          <w:tcPr>
            <w:tcW w:w="1701" w:type="dxa"/>
            <w:tcBorders>
              <w:top w:val="single" w:sz="4" w:space="0" w:color="auto"/>
            </w:tcBorders>
          </w:tcPr>
          <w:p w14:paraId="66C1E4DE" w14:textId="4C42769D" w:rsidR="005C6E3F" w:rsidRPr="005C6E3F" w:rsidRDefault="005C6E3F" w:rsidP="005C6E3F">
            <w:pPr>
              <w:pStyle w:val="Textkrper"/>
              <w:tabs>
                <w:tab w:val="decimal" w:pos="3941"/>
              </w:tabs>
              <w:spacing w:before="60" w:after="60"/>
              <w:rPr>
                <w:b/>
                <w:bCs/>
              </w:rPr>
            </w:pPr>
            <w:r w:rsidRPr="005C6E3F">
              <w:rPr>
                <w:b/>
                <w:bCs/>
              </w:rPr>
              <w:t>60</w:t>
            </w:r>
            <w:r w:rsidR="00430CD7">
              <w:rPr>
                <w:b/>
                <w:bCs/>
              </w:rPr>
              <w:t> </w:t>
            </w:r>
            <w:r w:rsidRPr="005C6E3F">
              <w:rPr>
                <w:b/>
                <w:bCs/>
              </w:rPr>
              <w:t>000</w:t>
            </w:r>
          </w:p>
        </w:tc>
      </w:tr>
      <w:tr w:rsidR="005C6E3F" w:rsidRPr="005C6E3F" w14:paraId="30A65593" w14:textId="77777777" w:rsidTr="005C6E3F">
        <w:trPr>
          <w:trHeight w:val="472"/>
        </w:trPr>
        <w:tc>
          <w:tcPr>
            <w:tcW w:w="7371" w:type="dxa"/>
            <w:vAlign w:val="bottom"/>
          </w:tcPr>
          <w:p w14:paraId="45DB54F1" w14:textId="67E3DA9A" w:rsidR="005C6E3F" w:rsidRPr="005C6E3F" w:rsidRDefault="005C6E3F" w:rsidP="005C6E3F">
            <w:pPr>
              <w:pStyle w:val="Textkrper"/>
              <w:spacing w:before="60" w:after="60"/>
              <w:rPr>
                <w:i/>
                <w:iCs/>
                <w:sz w:val="18"/>
                <w:szCs w:val="18"/>
              </w:rPr>
            </w:pPr>
            <w:r w:rsidRPr="005C6E3F">
              <w:rPr>
                <w:i/>
                <w:iCs/>
                <w:sz w:val="18"/>
                <w:szCs w:val="18"/>
              </w:rPr>
              <w:t>Erforderliches Einkommen (</w:t>
            </w:r>
            <w:proofErr w:type="gramStart"/>
            <w:r w:rsidR="009973CD">
              <w:rPr>
                <w:i/>
                <w:iCs/>
                <w:sz w:val="18"/>
                <w:szCs w:val="18"/>
              </w:rPr>
              <w:t>3 Mal</w:t>
            </w:r>
            <w:proofErr w:type="gramEnd"/>
            <w:r w:rsidRPr="005C6E3F">
              <w:rPr>
                <w:i/>
                <w:iCs/>
                <w:sz w:val="18"/>
                <w:szCs w:val="18"/>
              </w:rPr>
              <w:t xml:space="preserve"> höher)</w:t>
            </w:r>
          </w:p>
        </w:tc>
        <w:tc>
          <w:tcPr>
            <w:tcW w:w="1701" w:type="dxa"/>
            <w:vAlign w:val="bottom"/>
          </w:tcPr>
          <w:p w14:paraId="0A566D28" w14:textId="4997D4BD" w:rsidR="005C6E3F" w:rsidRPr="005C6E3F" w:rsidRDefault="005C6E3F" w:rsidP="005C6E3F">
            <w:pPr>
              <w:pStyle w:val="Textkrper"/>
              <w:tabs>
                <w:tab w:val="decimal" w:pos="3941"/>
              </w:tabs>
              <w:spacing w:before="60" w:after="60"/>
              <w:rPr>
                <w:i/>
                <w:iCs/>
                <w:sz w:val="18"/>
                <w:szCs w:val="18"/>
              </w:rPr>
            </w:pPr>
            <w:r w:rsidRPr="005C6E3F">
              <w:rPr>
                <w:i/>
                <w:iCs/>
                <w:sz w:val="18"/>
                <w:szCs w:val="18"/>
              </w:rPr>
              <w:t>180</w:t>
            </w:r>
            <w:r w:rsidR="00430CD7">
              <w:rPr>
                <w:i/>
                <w:iCs/>
                <w:sz w:val="18"/>
                <w:szCs w:val="18"/>
              </w:rPr>
              <w:t> </w:t>
            </w:r>
            <w:r w:rsidRPr="005C6E3F">
              <w:rPr>
                <w:i/>
                <w:iCs/>
                <w:sz w:val="18"/>
                <w:szCs w:val="18"/>
              </w:rPr>
              <w:t>000</w:t>
            </w:r>
          </w:p>
        </w:tc>
      </w:tr>
    </w:tbl>
    <w:p w14:paraId="3B76B7FF" w14:textId="3B3D6B51" w:rsidR="00984C1D" w:rsidRPr="00430CD7" w:rsidRDefault="00430CD7" w:rsidP="00984C1D">
      <w:pPr>
        <w:pStyle w:val="Textkrper"/>
        <w:rPr>
          <w:sz w:val="14"/>
          <w:szCs w:val="14"/>
        </w:rPr>
      </w:pPr>
      <w:bookmarkStart w:id="11" w:name="_Hlk118024086"/>
      <w:r w:rsidRPr="00430CD7">
        <w:rPr>
          <w:sz w:val="14"/>
          <w:szCs w:val="14"/>
        </w:rPr>
        <w:t>Alle Werte in CHF</w:t>
      </w:r>
    </w:p>
    <w:p w14:paraId="3EEC1EB6" w14:textId="36C889E3" w:rsidR="005C6E3F" w:rsidRDefault="003C44A4" w:rsidP="003C44A4">
      <w:pPr>
        <w:pStyle w:val="berschrift2"/>
      </w:pPr>
      <w:bookmarkStart w:id="12" w:name="_Toc112332599"/>
      <w:bookmarkEnd w:id="11"/>
      <w:r>
        <w:t>Was ist, wenn die Bank den Hauspreis tiefer schätzt?</w:t>
      </w:r>
      <w:bookmarkEnd w:id="12"/>
    </w:p>
    <w:p w14:paraId="465E9538" w14:textId="1DC8C11C" w:rsidR="003C44A4" w:rsidRDefault="003C44A4" w:rsidP="003C44A4">
      <w:pPr>
        <w:pStyle w:val="Textkrper"/>
      </w:pPr>
      <w:r>
        <w:t>Der Kreditgeber orientiert sich auch am geschätzten Wert der Liegenschaft und nicht nur am angebotenen Preis. Dieser Schätzwert kann auch unter dem Angebotspreis liegen. Sollte dies der Fall sein, so wird die Bank den Schätzwert als Finanzierungsbasis nehmen und Sie müssen die Differenz zum angebotenen Preis selbst übernehmen.</w:t>
      </w:r>
    </w:p>
    <w:p w14:paraId="39A51981" w14:textId="04D13826" w:rsidR="003C44A4" w:rsidRDefault="003C44A4" w:rsidP="003C44A4">
      <w:pPr>
        <w:pStyle w:val="Textkrper"/>
      </w:pPr>
      <w:r>
        <w:t>Ein Beispiel:</w:t>
      </w:r>
    </w:p>
    <w:p w14:paraId="6963AD05" w14:textId="17937F1A" w:rsidR="003C44A4" w:rsidRDefault="003C44A4" w:rsidP="003C44A4">
      <w:pPr>
        <w:pStyle w:val="Textkrper"/>
      </w:pPr>
      <w:r>
        <w:t xml:space="preserve">Sie haben ein Angebot für eine Liegenschaft zum Preis von </w:t>
      </w:r>
      <w:r w:rsidR="008F0C99">
        <w:t>CHF </w:t>
      </w:r>
      <w:r>
        <w:t xml:space="preserve">1 Mio. Die Bank aber schätzt diese nun auf </w:t>
      </w:r>
      <w:r w:rsidR="008F0C99">
        <w:t>CHF </w:t>
      </w:r>
      <w:r>
        <w:t>900 000. Sie wird dann diesen Preis als Ka</w:t>
      </w:r>
      <w:r w:rsidR="002114F7">
        <w:t>lkulationsbasis verwenden und davon maximal 80</w:t>
      </w:r>
      <w:r w:rsidR="00516EE6">
        <w:t> %</w:t>
      </w:r>
      <w:r w:rsidR="002114F7">
        <w:t xml:space="preserve"> finanzieren, also </w:t>
      </w:r>
      <w:r w:rsidR="008F0C99">
        <w:t>CHF </w:t>
      </w:r>
      <w:r w:rsidR="002114F7">
        <w:t xml:space="preserve">720 000. Das heisst, Sie müssen selbst </w:t>
      </w:r>
      <w:r w:rsidR="008F0C99">
        <w:t>CHF </w:t>
      </w:r>
      <w:r w:rsidR="002114F7">
        <w:t>280 000 finanzieren (20</w:t>
      </w:r>
      <w:r w:rsidR="00516EE6">
        <w:t> %</w:t>
      </w:r>
      <w:r w:rsidR="002114F7">
        <w:t xml:space="preserve"> von </w:t>
      </w:r>
      <w:r w:rsidR="008F0C99">
        <w:t>CHF </w:t>
      </w:r>
      <w:r w:rsidR="002114F7">
        <w:t xml:space="preserve">900 000 zzgl. </w:t>
      </w:r>
      <w:r w:rsidR="008F0C99">
        <w:t>CHF </w:t>
      </w:r>
      <w:r w:rsidR="002114F7">
        <w:t xml:space="preserve">100 000 Differenz). </w:t>
      </w:r>
    </w:p>
    <w:p w14:paraId="5FFBB750" w14:textId="57BDC403" w:rsidR="002114F7" w:rsidRDefault="002114F7" w:rsidP="002114F7">
      <w:pPr>
        <w:pStyle w:val="berschrift2"/>
      </w:pPr>
      <w:bookmarkStart w:id="13" w:name="_Toc112332600"/>
      <w:r>
        <w:t>Wie sieht es im Alter mit der Finanzierung aus?</w:t>
      </w:r>
      <w:bookmarkEnd w:id="13"/>
    </w:p>
    <w:p w14:paraId="76248D4C" w14:textId="599166B8" w:rsidR="002114F7" w:rsidRDefault="002114F7" w:rsidP="002114F7">
      <w:pPr>
        <w:pStyle w:val="Textkrper"/>
      </w:pPr>
      <w:r>
        <w:t>Mit einem Hypothekenrechner erhalten Sie einen ersten Eindruck über die finanzielle Tragbarkeit Ihres Wohntraums. Diesen finden Sie zum Beispiel an folgenden Stellen</w:t>
      </w:r>
      <w:r w:rsidR="00370C72">
        <w:t xml:space="preserve"> (siehe auch</w:t>
      </w:r>
      <w:r w:rsidR="00362FC4">
        <w:t xml:space="preserve"> </w:t>
      </w:r>
      <w:r w:rsidR="007048C7" w:rsidRPr="00C651E4">
        <w:fldChar w:fldCharType="begin"/>
      </w:r>
      <w:r w:rsidR="007048C7" w:rsidRPr="00C651E4">
        <w:instrText>MACROBUTTON NoMacro [</w:instrText>
      </w:r>
      <w:r w:rsidR="007048C7" w:rsidRPr="00C651E4">
        <w:rPr>
          <w:b/>
          <w:color w:val="FF0000"/>
        </w:rPr>
        <w:instrText>KLICK!</w:instrText>
      </w:r>
      <w:r w:rsidR="007048C7" w:rsidRPr="00C651E4">
        <w:instrText>]</w:instrText>
      </w:r>
      <w:r w:rsidR="007048C7" w:rsidRPr="00C651E4">
        <w:fldChar w:fldCharType="end"/>
      </w:r>
      <w:r w:rsidR="00362FC4">
        <w:t>)</w:t>
      </w:r>
    </w:p>
    <w:p w14:paraId="339E4C12" w14:textId="5AD15662" w:rsidR="002114F7" w:rsidRDefault="00000000" w:rsidP="002114F7">
      <w:pPr>
        <w:pStyle w:val="Aufzhlungszeichen"/>
      </w:pPr>
      <w:hyperlink r:id="rId10" w:history="1">
        <w:r w:rsidR="002114F7" w:rsidRPr="00935EDA">
          <w:rPr>
            <w:rStyle w:val="Hyperlink"/>
          </w:rPr>
          <w:t>Raiffeisen</w:t>
        </w:r>
      </w:hyperlink>
    </w:p>
    <w:p w14:paraId="733A5C28" w14:textId="33DB8288" w:rsidR="002114F7" w:rsidRDefault="00000000" w:rsidP="002114F7">
      <w:pPr>
        <w:pStyle w:val="Aufzhlungszeichen"/>
      </w:pPr>
      <w:hyperlink r:id="rId11" w:history="1">
        <w:r w:rsidR="002114F7" w:rsidRPr="00935EDA">
          <w:rPr>
            <w:rStyle w:val="Hyperlink"/>
          </w:rPr>
          <w:t>UBS</w:t>
        </w:r>
      </w:hyperlink>
    </w:p>
    <w:p w14:paraId="71FD75E8" w14:textId="72E38F5F" w:rsidR="002114F7" w:rsidRDefault="00000000" w:rsidP="002114F7">
      <w:pPr>
        <w:pStyle w:val="Aufzhlungszeichen"/>
      </w:pPr>
      <w:hyperlink r:id="rId12" w:history="1">
        <w:proofErr w:type="spellStart"/>
        <w:r w:rsidR="002114F7" w:rsidRPr="00935EDA">
          <w:rPr>
            <w:rStyle w:val="Hyperlink"/>
          </w:rPr>
          <w:t>Credit</w:t>
        </w:r>
        <w:proofErr w:type="spellEnd"/>
        <w:r w:rsidR="00430CD7">
          <w:rPr>
            <w:rStyle w:val="Hyperlink"/>
          </w:rPr>
          <w:t> </w:t>
        </w:r>
        <w:r w:rsidR="002114F7" w:rsidRPr="00935EDA">
          <w:rPr>
            <w:rStyle w:val="Hyperlink"/>
          </w:rPr>
          <w:t>Suisse</w:t>
        </w:r>
      </w:hyperlink>
    </w:p>
    <w:p w14:paraId="4CF47B78" w14:textId="77777777" w:rsidR="002114F7" w:rsidRDefault="002114F7" w:rsidP="002114F7">
      <w:pPr>
        <w:pStyle w:val="Textkrper"/>
      </w:pPr>
      <w:r>
        <w:t>Gerade beim Erwerb oder Umbau der Liegenschaft ist die Verschuldung oft hoch. Die Überprüfung der Tragbarkeit bei Abschluss der Hypothek ist eine Momentaufnahme. Es gibt Situationen, welche die Tragbarkeit der Liegenschaft beeinflussen können. Etwa, wenn Sie Ihr Arbeitspensum reduzieren, in Pension gehen oder erwerbsunfähig werden. Damit auch im Alter wie auch in einem Vorsorgefall (Invalidität und Todesfall) die Tragbarkeit gewährleistet ist und die Liegenschaft weiterbewohnt werden kann, ist eine sorgfältige Analyse sinnvoll. Ab dem 45. Altersjahr ist eine Pensionsberatung empfehlenswert.</w:t>
      </w:r>
    </w:p>
    <w:p w14:paraId="26159C5B" w14:textId="0CE1C94E" w:rsidR="002114F7" w:rsidRPr="002114F7" w:rsidRDefault="002114F7" w:rsidP="002114F7">
      <w:pPr>
        <w:pStyle w:val="Textkrper"/>
      </w:pPr>
      <w:r>
        <w:t>Auch wenn Sie über genügend Eigenkapital und Einkommen verfügen, hat die Entscheidung, eigenes Wohneigentum zu finanzieren, langfristige Konsequenzen. Lassen Sie sich auf jeden Fall von einem Experten beraten.</w:t>
      </w:r>
    </w:p>
    <w:sectPr w:rsidR="002114F7" w:rsidRPr="002114F7" w:rsidSect="00455271">
      <w:headerReference w:type="default" r:id="rId13"/>
      <w:footerReference w:type="default" r:id="rId14"/>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62209" w14:textId="77777777" w:rsidR="00C5173E" w:rsidRDefault="00C5173E" w:rsidP="00E242E1">
      <w:pPr>
        <w:spacing w:after="0" w:line="240" w:lineRule="auto"/>
      </w:pPr>
      <w:r>
        <w:separator/>
      </w:r>
    </w:p>
  </w:endnote>
  <w:endnote w:type="continuationSeparator" w:id="0">
    <w:p w14:paraId="2FC377EE" w14:textId="77777777" w:rsidR="00C5173E" w:rsidRDefault="00C5173E" w:rsidP="00E24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0E36" w14:textId="2A643E14" w:rsidR="00E242E1" w:rsidRPr="00E242E1" w:rsidRDefault="00E242E1" w:rsidP="00E242E1">
    <w:pPr>
      <w:pStyle w:val="Fuzeile"/>
      <w:pBdr>
        <w:top w:val="single" w:sz="2" w:space="1" w:color="auto"/>
      </w:pBdr>
    </w:pPr>
    <w:r>
      <w:t>Eigenheimfinanzierung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A19AA" w14:textId="77777777" w:rsidR="00C5173E" w:rsidRDefault="00C5173E" w:rsidP="00E242E1">
      <w:pPr>
        <w:spacing w:after="0" w:line="240" w:lineRule="auto"/>
      </w:pPr>
      <w:r>
        <w:separator/>
      </w:r>
    </w:p>
  </w:footnote>
  <w:footnote w:type="continuationSeparator" w:id="0">
    <w:p w14:paraId="4F65650E" w14:textId="77777777" w:rsidR="00C5173E" w:rsidRDefault="00C5173E" w:rsidP="00E242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11563" w14:textId="45080B94" w:rsidR="00DF3004" w:rsidRPr="00DF3004" w:rsidRDefault="00DF3004" w:rsidP="00DF3004">
    <w:pPr>
      <w:pStyle w:val="Kopfzeile"/>
    </w:pPr>
    <w:r>
      <w:t>IMMOSUPPORT 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07E32E8"/>
    <w:lvl w:ilvl="0">
      <w:start w:val="1"/>
      <w:numFmt w:val="bullet"/>
      <w:pStyle w:val="Aufzhlungszeichen"/>
      <w:lvlText w:val=""/>
      <w:lvlJc w:val="left"/>
      <w:pPr>
        <w:ind w:left="360" w:hanging="360"/>
      </w:pPr>
      <w:rPr>
        <w:rFonts w:ascii="Wingdings" w:hAnsi="Wingdings" w:hint="default"/>
        <w:color w:val="C00000"/>
      </w:rPr>
    </w:lvl>
  </w:abstractNum>
  <w:num w:numId="1" w16cid:durableId="1693342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F49"/>
    <w:rsid w:val="0001413B"/>
    <w:rsid w:val="000675BE"/>
    <w:rsid w:val="00085698"/>
    <w:rsid w:val="000E5F07"/>
    <w:rsid w:val="00154CBF"/>
    <w:rsid w:val="002114F7"/>
    <w:rsid w:val="0028677F"/>
    <w:rsid w:val="002F456B"/>
    <w:rsid w:val="00362FC4"/>
    <w:rsid w:val="00370C72"/>
    <w:rsid w:val="0039348B"/>
    <w:rsid w:val="003C44A4"/>
    <w:rsid w:val="00430CD7"/>
    <w:rsid w:val="00442C24"/>
    <w:rsid w:val="004542D3"/>
    <w:rsid w:val="00455271"/>
    <w:rsid w:val="004D1F49"/>
    <w:rsid w:val="00516EE6"/>
    <w:rsid w:val="005411BE"/>
    <w:rsid w:val="005C6E3F"/>
    <w:rsid w:val="00683604"/>
    <w:rsid w:val="007048C7"/>
    <w:rsid w:val="007211D5"/>
    <w:rsid w:val="00844A15"/>
    <w:rsid w:val="008937CE"/>
    <w:rsid w:val="008F0C99"/>
    <w:rsid w:val="00935EDA"/>
    <w:rsid w:val="00984C1D"/>
    <w:rsid w:val="009973CD"/>
    <w:rsid w:val="009D4AA7"/>
    <w:rsid w:val="009D78C4"/>
    <w:rsid w:val="00A13BBE"/>
    <w:rsid w:val="00A31FCD"/>
    <w:rsid w:val="00A60658"/>
    <w:rsid w:val="00AC1B0D"/>
    <w:rsid w:val="00AF0C60"/>
    <w:rsid w:val="00B27C10"/>
    <w:rsid w:val="00B908A7"/>
    <w:rsid w:val="00C5173E"/>
    <w:rsid w:val="00C66DBB"/>
    <w:rsid w:val="00C67F4F"/>
    <w:rsid w:val="00C90BF6"/>
    <w:rsid w:val="00D45091"/>
    <w:rsid w:val="00D65373"/>
    <w:rsid w:val="00DA590E"/>
    <w:rsid w:val="00DF3004"/>
    <w:rsid w:val="00E242E1"/>
    <w:rsid w:val="00EA465A"/>
    <w:rsid w:val="00FB6D6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03CD7"/>
  <w15:chartTrackingRefBased/>
  <w15:docId w15:val="{4ADB8E85-F7B1-446E-95FA-1A6CF7CD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1F49"/>
    <w:rPr>
      <w:rFonts w:ascii="Segoe UI" w:hAnsi="Segoe UI"/>
    </w:rPr>
  </w:style>
  <w:style w:type="paragraph" w:styleId="berschrift1">
    <w:name w:val="heading 1"/>
    <w:basedOn w:val="Standard"/>
    <w:next w:val="Standard"/>
    <w:link w:val="berschrift1Zchn"/>
    <w:uiPriority w:val="9"/>
    <w:qFormat/>
    <w:rsid w:val="004D1F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70C72"/>
    <w:pPr>
      <w:keepNext/>
      <w:keepLines/>
      <w:spacing w:before="12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2F4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35EDA"/>
    <w:pPr>
      <w:spacing w:after="0" w:line="240" w:lineRule="auto"/>
      <w:contextualSpacing/>
    </w:pPr>
    <w:rPr>
      <w:rFonts w:asciiTheme="majorHAnsi" w:eastAsiaTheme="majorEastAsia" w:hAnsiTheme="majorHAnsi" w:cstheme="majorBidi"/>
      <w:spacing w:val="-10"/>
      <w:kern w:val="28"/>
      <w:sz w:val="144"/>
      <w:szCs w:val="56"/>
    </w:rPr>
  </w:style>
  <w:style w:type="character" w:customStyle="1" w:styleId="TitelZchn">
    <w:name w:val="Titel Zchn"/>
    <w:basedOn w:val="Absatz-Standardschriftart"/>
    <w:link w:val="Titel"/>
    <w:uiPriority w:val="10"/>
    <w:rsid w:val="00935EDA"/>
    <w:rPr>
      <w:rFonts w:asciiTheme="majorHAnsi" w:eastAsiaTheme="majorEastAsia" w:hAnsiTheme="majorHAnsi" w:cstheme="majorBidi"/>
      <w:spacing w:val="-10"/>
      <w:kern w:val="28"/>
      <w:sz w:val="144"/>
      <w:szCs w:val="56"/>
    </w:rPr>
  </w:style>
  <w:style w:type="character" w:customStyle="1" w:styleId="berschrift1Zchn">
    <w:name w:val="Überschrift 1 Zchn"/>
    <w:basedOn w:val="Absatz-Standardschriftart"/>
    <w:link w:val="berschrift1"/>
    <w:uiPriority w:val="9"/>
    <w:rsid w:val="004D1F49"/>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70C7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2F456B"/>
    <w:rPr>
      <w:rFonts w:asciiTheme="majorHAnsi" w:eastAsiaTheme="majorEastAsia" w:hAnsiTheme="majorHAnsi" w:cstheme="majorBidi"/>
      <w:color w:val="1F3763" w:themeColor="accent1" w:themeShade="7F"/>
      <w:sz w:val="24"/>
      <w:szCs w:val="24"/>
    </w:rPr>
  </w:style>
  <w:style w:type="paragraph" w:styleId="Aufzhlungszeichen">
    <w:name w:val="List Bullet"/>
    <w:basedOn w:val="Standard"/>
    <w:uiPriority w:val="99"/>
    <w:unhideWhenUsed/>
    <w:rsid w:val="00AF0C60"/>
    <w:pPr>
      <w:numPr>
        <w:numId w:val="1"/>
      </w:numPr>
      <w:ind w:left="227" w:hanging="227"/>
    </w:pPr>
  </w:style>
  <w:style w:type="paragraph" w:styleId="Textkrper">
    <w:name w:val="Body Text"/>
    <w:basedOn w:val="Standard"/>
    <w:link w:val="TextkrperZchn"/>
    <w:uiPriority w:val="99"/>
    <w:unhideWhenUsed/>
    <w:rsid w:val="00AF0C60"/>
    <w:pPr>
      <w:spacing w:after="120"/>
    </w:pPr>
  </w:style>
  <w:style w:type="character" w:customStyle="1" w:styleId="TextkrperZchn">
    <w:name w:val="Textkörper Zchn"/>
    <w:basedOn w:val="Absatz-Standardschriftart"/>
    <w:link w:val="Textkrper"/>
    <w:uiPriority w:val="99"/>
    <w:rsid w:val="00AF0C60"/>
    <w:rPr>
      <w:rFonts w:ascii="Segoe UI" w:hAnsi="Segoe UI"/>
    </w:rPr>
  </w:style>
  <w:style w:type="table" w:styleId="Tabellenraster">
    <w:name w:val="Table Grid"/>
    <w:basedOn w:val="NormaleTabelle"/>
    <w:uiPriority w:val="39"/>
    <w:rsid w:val="005C6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7048C7"/>
    <w:rPr>
      <w:color w:val="0563C1" w:themeColor="hyperlink"/>
      <w:u w:val="single"/>
    </w:rPr>
  </w:style>
  <w:style w:type="character" w:styleId="NichtaufgelsteErwhnung">
    <w:name w:val="Unresolved Mention"/>
    <w:basedOn w:val="Absatz-Standardschriftart"/>
    <w:uiPriority w:val="99"/>
    <w:semiHidden/>
    <w:unhideWhenUsed/>
    <w:rsid w:val="00935EDA"/>
    <w:rPr>
      <w:color w:val="605E5C"/>
      <w:shd w:val="clear" w:color="auto" w:fill="E1DFDD"/>
    </w:rPr>
  </w:style>
  <w:style w:type="paragraph" w:styleId="Verzeichnis1">
    <w:name w:val="toc 1"/>
    <w:basedOn w:val="Standard"/>
    <w:next w:val="Standard"/>
    <w:autoRedefine/>
    <w:uiPriority w:val="39"/>
    <w:unhideWhenUsed/>
    <w:rsid w:val="00E242E1"/>
    <w:pPr>
      <w:spacing w:after="100"/>
    </w:pPr>
    <w:rPr>
      <w:b/>
    </w:rPr>
  </w:style>
  <w:style w:type="paragraph" w:styleId="Verzeichnis2">
    <w:name w:val="toc 2"/>
    <w:basedOn w:val="Standard"/>
    <w:next w:val="Standard"/>
    <w:autoRedefine/>
    <w:uiPriority w:val="39"/>
    <w:unhideWhenUsed/>
    <w:rsid w:val="00935EDA"/>
    <w:pPr>
      <w:spacing w:after="100"/>
      <w:ind w:left="220"/>
    </w:pPr>
  </w:style>
  <w:style w:type="paragraph" w:styleId="Inhaltsverzeichnisberschrift">
    <w:name w:val="TOC Heading"/>
    <w:next w:val="Standard"/>
    <w:uiPriority w:val="39"/>
    <w:unhideWhenUsed/>
    <w:qFormat/>
    <w:rsid w:val="00935EDA"/>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DF3004"/>
    <w:pPr>
      <w:tabs>
        <w:tab w:val="center" w:pos="4536"/>
        <w:tab w:val="right" w:pos="9072"/>
      </w:tabs>
      <w:spacing w:after="0" w:line="240" w:lineRule="auto"/>
      <w:jc w:val="center"/>
    </w:pPr>
    <w:rPr>
      <w:b/>
      <w:color w:val="2F5496" w:themeColor="accent1" w:themeShade="BF"/>
      <w:spacing w:val="40"/>
    </w:rPr>
  </w:style>
  <w:style w:type="character" w:customStyle="1" w:styleId="KopfzeileZchn">
    <w:name w:val="Kopfzeile Zchn"/>
    <w:basedOn w:val="Absatz-Standardschriftart"/>
    <w:link w:val="Kopfzeile"/>
    <w:uiPriority w:val="99"/>
    <w:rsid w:val="00DF3004"/>
    <w:rPr>
      <w:rFonts w:ascii="Segoe UI" w:hAnsi="Segoe UI"/>
      <w:b/>
      <w:color w:val="2F5496" w:themeColor="accent1" w:themeShade="BF"/>
      <w:spacing w:val="40"/>
    </w:rPr>
  </w:style>
  <w:style w:type="paragraph" w:styleId="Fuzeile">
    <w:name w:val="footer"/>
    <w:basedOn w:val="Standard"/>
    <w:link w:val="FuzeileZchn"/>
    <w:uiPriority w:val="99"/>
    <w:unhideWhenUsed/>
    <w:rsid w:val="00E242E1"/>
    <w:pPr>
      <w:tabs>
        <w:tab w:val="right" w:pos="9072"/>
      </w:tabs>
      <w:spacing w:after="0" w:line="240" w:lineRule="auto"/>
    </w:pPr>
    <w:rPr>
      <w:sz w:val="18"/>
    </w:rPr>
  </w:style>
  <w:style w:type="character" w:customStyle="1" w:styleId="FuzeileZchn">
    <w:name w:val="Fußzeile Zchn"/>
    <w:basedOn w:val="Absatz-Standardschriftart"/>
    <w:link w:val="Fuzeile"/>
    <w:uiPriority w:val="99"/>
    <w:rsid w:val="00E242E1"/>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9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redit-suisse.com/ch/de/privatkunden/hypothek/erstfinanzierung.html?&amp;aa_cmp=psrc_pbch_ch_2019_alonp_mortgages_wr_na_goog_na_na__w07728&amp;gclid=CjwKCAjwu5yYBhAjEiwAKXk_eF7jaU3yoQGgE1fQsIX8l6Y6aN4oqHesdGQF_YnEN_SPqAyWBlCncRoCeTcQAvD_BwE&amp;gclsrc=aw.ds"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bs.com/ch/de/private/mortgages/mortgage-calculator.html?campID=SEM-HYPOTHEKEN_HYPOTHEKENRECHNER_BRAND_LEADS-CH-DEU-GOOGLE-HYPOTHEKENRECHNER-RSA-ubs%20hypotheken%20rechner-p_272889850_19953926050_590704715660_kwd-3600252955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aiffeisen.ch/winterthur/de/privatkunden/hypotheken.html"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olafs\Dropbox\_Schmelter%20Consulting\Kunden\KV%20Schweiz\2023\E-Profil%20Reserveserie%20(Olaf%20Schmelter)\Rohmaterial\Statistiken.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de-CH"/>
              <a:t>Hypothekarvolumen der privaten Haushalte in Prozent des BIP</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de-DE"/>
        </a:p>
      </c:txPr>
    </c:title>
    <c:autoTitleDeleted val="0"/>
    <c:plotArea>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de-D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Tabelle1!$D$7:$D$21</c:f>
              <c:strCache>
                <c:ptCount val="15"/>
                <c:pt idx="0">
                  <c:v>Slowenien</c:v>
                </c:pt>
                <c:pt idx="1">
                  <c:v>Polen</c:v>
                </c:pt>
                <c:pt idx="2">
                  <c:v>Israel</c:v>
                </c:pt>
                <c:pt idx="3">
                  <c:v>Estland</c:v>
                </c:pt>
                <c:pt idx="4">
                  <c:v>Österreich</c:v>
                </c:pt>
                <c:pt idx="5">
                  <c:v>Griechenland</c:v>
                </c:pt>
                <c:pt idx="6">
                  <c:v>Frankreich</c:v>
                </c:pt>
                <c:pt idx="7">
                  <c:v>Japan</c:v>
                </c:pt>
                <c:pt idx="8">
                  <c:v>Neuseeland</c:v>
                </c:pt>
                <c:pt idx="9">
                  <c:v>Kanada</c:v>
                </c:pt>
                <c:pt idx="10">
                  <c:v>Schweden</c:v>
                </c:pt>
                <c:pt idx="11">
                  <c:v>Australien</c:v>
                </c:pt>
                <c:pt idx="12">
                  <c:v>Niederlande</c:v>
                </c:pt>
                <c:pt idx="13">
                  <c:v>Schweiz</c:v>
                </c:pt>
                <c:pt idx="14">
                  <c:v>Dänemark</c:v>
                </c:pt>
              </c:strCache>
            </c:strRef>
          </c:cat>
          <c:val>
            <c:numRef>
              <c:f>Tabelle1!$E$7:$E$21</c:f>
              <c:numCache>
                <c:formatCode>General</c:formatCode>
                <c:ptCount val="15"/>
                <c:pt idx="0">
                  <c:v>17</c:v>
                </c:pt>
                <c:pt idx="1">
                  <c:v>20</c:v>
                </c:pt>
                <c:pt idx="2">
                  <c:v>25</c:v>
                </c:pt>
                <c:pt idx="3">
                  <c:v>31</c:v>
                </c:pt>
                <c:pt idx="4">
                  <c:v>34</c:v>
                </c:pt>
                <c:pt idx="5">
                  <c:v>39</c:v>
                </c:pt>
                <c:pt idx="6">
                  <c:v>41</c:v>
                </c:pt>
                <c:pt idx="7">
                  <c:v>41</c:v>
                </c:pt>
                <c:pt idx="8">
                  <c:v>50</c:v>
                </c:pt>
                <c:pt idx="9">
                  <c:v>59</c:v>
                </c:pt>
                <c:pt idx="10">
                  <c:v>64</c:v>
                </c:pt>
                <c:pt idx="11">
                  <c:v>87</c:v>
                </c:pt>
                <c:pt idx="12">
                  <c:v>100</c:v>
                </c:pt>
                <c:pt idx="13">
                  <c:v>111</c:v>
                </c:pt>
                <c:pt idx="14">
                  <c:v>111</c:v>
                </c:pt>
              </c:numCache>
            </c:numRef>
          </c:val>
          <c:extLst>
            <c:ext xmlns:c16="http://schemas.microsoft.com/office/drawing/2014/chart" uri="{C3380CC4-5D6E-409C-BE32-E72D297353CC}">
              <c16:uniqueId val="{00000000-9ED5-4C57-8B52-A9B4231C88C6}"/>
            </c:ext>
          </c:extLst>
        </c:ser>
        <c:dLbls>
          <c:dLblPos val="inEnd"/>
          <c:showLegendKey val="0"/>
          <c:showVal val="1"/>
          <c:showCatName val="0"/>
          <c:showSerName val="0"/>
          <c:showPercent val="0"/>
          <c:showBubbleSize val="0"/>
        </c:dLbls>
        <c:gapWidth val="65"/>
        <c:axId val="729040184"/>
        <c:axId val="729043464"/>
      </c:barChart>
      <c:catAx>
        <c:axId val="72904018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de-DE"/>
          </a:p>
        </c:txPr>
        <c:crossAx val="729043464"/>
        <c:crosses val="autoZero"/>
        <c:auto val="1"/>
        <c:lblAlgn val="ctr"/>
        <c:lblOffset val="100"/>
        <c:noMultiLvlLbl val="0"/>
      </c:catAx>
      <c:valAx>
        <c:axId val="729043464"/>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de-DE"/>
          </a:p>
        </c:txPr>
        <c:crossAx val="7290401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EA8762F606AF40BD304786B1FC7FD7" ma:contentTypeVersion="14" ma:contentTypeDescription="Ein neues Dokument erstellen." ma:contentTypeScope="" ma:versionID="5752107968823337935895b38ce5b246">
  <xsd:schema xmlns:xsd="http://www.w3.org/2001/XMLSchema" xmlns:xs="http://www.w3.org/2001/XMLSchema" xmlns:p="http://schemas.microsoft.com/office/2006/metadata/properties" xmlns:ns2="f9b33728-9845-4c26-b590-97e8e3d7ce2f" xmlns:ns3="6b0bada8-e6de-4a4a-adfd-6bbcc2b42952" targetNamespace="http://schemas.microsoft.com/office/2006/metadata/properties" ma:root="true" ma:fieldsID="588856a596a2d0e9635bbe4d03799525" ns2:_="" ns3:_="">
    <xsd:import namespace="f9b33728-9845-4c26-b590-97e8e3d7ce2f"/>
    <xsd:import namespace="6b0bada8-e6de-4a4a-adfd-6bbcc2b4295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33728-9845-4c26-b590-97e8e3d7ce2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608b17f-e7e2-49b7-92ad-3e7edf271e2d}"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E66B8E-454C-4B06-A535-5D628D074882}">
  <ds:schemaRefs>
    <ds:schemaRef ds:uri="http://schemas.openxmlformats.org/officeDocument/2006/bibliography"/>
  </ds:schemaRefs>
</ds:datastoreItem>
</file>

<file path=customXml/itemProps2.xml><?xml version="1.0" encoding="utf-8"?>
<ds:datastoreItem xmlns:ds="http://schemas.openxmlformats.org/officeDocument/2006/customXml" ds:itemID="{6CC63560-EB2B-42C8-968B-ED7DB98E80DF}"/>
</file>

<file path=customXml/itemProps3.xml><?xml version="1.0" encoding="utf-8"?>
<ds:datastoreItem xmlns:ds="http://schemas.openxmlformats.org/officeDocument/2006/customXml" ds:itemID="{55350840-B2DE-444C-B457-4A1DDF3CC09A}"/>
</file>

<file path=docProps/app.xml><?xml version="1.0" encoding="utf-8"?>
<Properties xmlns="http://schemas.openxmlformats.org/officeDocument/2006/extended-properties" xmlns:vt="http://schemas.openxmlformats.org/officeDocument/2006/docPropsVTypes">
  <Template>Normal.dotm</Template>
  <TotalTime>0</TotalTime>
  <Pages>5</Pages>
  <Words>961</Words>
  <Characters>6058</Characters>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2022-08-29T15:24:00Z</dcterms:created>
  <dcterms:modified xsi:type="dcterms:W3CDTF">2022-11-22T17:08:00Z</dcterms:modified>
</cp:coreProperties>
</file>